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8639F8">
        <w:rPr>
          <w:snapToGrid/>
          <w:color w:val="000000" w:themeColor="text1"/>
          <w:sz w:val="24"/>
          <w:szCs w:val="24"/>
        </w:rPr>
        <w:t>13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8639F8">
        <w:rPr>
          <w:snapToGrid/>
          <w:color w:val="000000" w:themeColor="text1"/>
          <w:sz w:val="24"/>
          <w:szCs w:val="24"/>
        </w:rPr>
        <w:t>9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8639F8" w:rsidRPr="008639F8">
        <w:rPr>
          <w:color w:val="000000" w:themeColor="text1"/>
          <w:sz w:val="32"/>
          <w:szCs w:val="32"/>
        </w:rPr>
        <w:t>капитального ремонта электропитания проходной и здания по обеззараживанию воды на площадке 3-го подъема НФС-2</w:t>
      </w:r>
      <w:r w:rsidR="004D3E60" w:rsidRPr="004D3E60">
        <w:rPr>
          <w:color w:val="000000" w:themeColor="text1"/>
          <w:sz w:val="32"/>
          <w:szCs w:val="32"/>
        </w:rPr>
        <w:t xml:space="preserve">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D2EC5">
        <w:rPr>
          <w:b/>
          <w:color w:val="000000" w:themeColor="text1"/>
          <w:sz w:val="32"/>
          <w:szCs w:val="32"/>
        </w:rPr>
        <w:t>8</w:t>
      </w:r>
      <w:r w:rsidR="008639F8">
        <w:rPr>
          <w:b/>
          <w:color w:val="000000" w:themeColor="text1"/>
          <w:sz w:val="32"/>
          <w:szCs w:val="32"/>
        </w:rPr>
        <w:t>79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8639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8639F8" w:rsidRPr="008639F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электропитания проходной и здания по обеззараживанию воды на площадке 3-го подъема НФС-2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8639F8">
              <w:rPr>
                <w:b/>
                <w:sz w:val="20"/>
                <w:szCs w:val="20"/>
              </w:rPr>
              <w:t>202 839,55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39F8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155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CA2A3-5421-4073-B95C-41967615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15</Pages>
  <Words>4730</Words>
  <Characters>32052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367</cp:revision>
  <cp:lastPrinted>2019-02-04T06:44:00Z</cp:lastPrinted>
  <dcterms:created xsi:type="dcterms:W3CDTF">2019-02-07T06:22:00Z</dcterms:created>
  <dcterms:modified xsi:type="dcterms:W3CDTF">2023-09-12T11:42:00Z</dcterms:modified>
</cp:coreProperties>
</file>